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0D6171B5" w:rsidR="00C22F26" w:rsidRPr="00F2386A" w:rsidRDefault="00F2386A" w:rsidP="003352B3">
            <w:pPr>
              <w:spacing w:after="120" w:line="240" w:lineRule="auto"/>
              <w:rPr>
                <w:rFonts w:ascii="Verdana" w:hAnsi="Verdana" w:cs="Arial"/>
                <w:iCs/>
                <w:sz w:val="18"/>
                <w:szCs w:val="20"/>
              </w:rPr>
            </w:pPr>
            <w:r w:rsidRPr="00F2386A">
              <w:rPr>
                <w:rFonts w:ascii="Verdana" w:hAnsi="Verdana" w:cs="Arial"/>
                <w:iCs/>
                <w:sz w:val="18"/>
                <w:szCs w:val="20"/>
              </w:rPr>
              <w:t>PGE Energia Ciepła S.A.</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1EFD3218" w:rsidR="00C22F26" w:rsidRPr="00F2386A" w:rsidRDefault="00573B4D" w:rsidP="003352B3">
            <w:pPr>
              <w:spacing w:after="120" w:line="240" w:lineRule="auto"/>
              <w:outlineLvl w:val="0"/>
              <w:rPr>
                <w:rFonts w:ascii="Verdana" w:hAnsi="Verdana" w:cs="Arial"/>
                <w:iCs/>
                <w:sz w:val="18"/>
                <w:szCs w:val="20"/>
              </w:rPr>
            </w:pPr>
            <w:r w:rsidRPr="00573B4D">
              <w:rPr>
                <w:rFonts w:ascii="Verdana" w:hAnsi="Verdana" w:cs="Arial"/>
                <w:iCs/>
                <w:sz w:val="18"/>
                <w:szCs w:val="20"/>
              </w:rPr>
              <w:t>Przegląd okresowy generatorów synchronicznych w latach 2027-2029 r. w PGE Energia Ciepła S.A. Oddział w Gorzowie Wielkopolskim</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0709DC7E" w:rsidR="00C22F26" w:rsidRPr="004035BD" w:rsidRDefault="00F2386A" w:rsidP="003352B3">
            <w:pPr>
              <w:spacing w:after="120" w:line="240" w:lineRule="auto"/>
              <w:rPr>
                <w:rFonts w:ascii="Verdana" w:hAnsi="Verdana" w:cs="Arial"/>
                <w:sz w:val="18"/>
                <w:szCs w:val="20"/>
              </w:rPr>
            </w:pPr>
            <w:r w:rsidRPr="00F2386A">
              <w:rPr>
                <w:rFonts w:ascii="Verdana" w:hAnsi="Verdana" w:cs="Arial"/>
                <w:sz w:val="18"/>
                <w:szCs w:val="20"/>
              </w:rPr>
              <w:t>POST/PEC/PEC/UZR/00</w:t>
            </w:r>
            <w:r w:rsidR="00573B4D">
              <w:rPr>
                <w:rFonts w:ascii="Verdana" w:hAnsi="Verdana" w:cs="Arial"/>
                <w:sz w:val="18"/>
                <w:szCs w:val="20"/>
              </w:rPr>
              <w:t>135</w:t>
            </w:r>
            <w:r w:rsidRPr="00F2386A">
              <w:rPr>
                <w:rFonts w:ascii="Verdana" w:hAnsi="Verdana" w:cs="Arial"/>
                <w:sz w:val="18"/>
                <w:szCs w:val="20"/>
              </w:rPr>
              <w:t>/202</w:t>
            </w:r>
            <w:r w:rsidR="00DC76F0">
              <w:rPr>
                <w:rFonts w:ascii="Verdana" w:hAnsi="Verdana" w:cs="Arial"/>
                <w:sz w:val="18"/>
                <w:szCs w:val="20"/>
              </w:rPr>
              <w:t>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 xml:space="preserve">jaki jest odpowiedni odsetek pracowników niepełnosprawnych lub </w:t>
            </w:r>
            <w:proofErr w:type="spellStart"/>
            <w:r w:rsidRPr="004035BD">
              <w:rPr>
                <w:rFonts w:cs="Arial"/>
                <w:sz w:val="18"/>
                <w:szCs w:val="18"/>
              </w:rPr>
              <w:t>defaworyzowanych</w:t>
            </w:r>
            <w:proofErr w:type="spellEnd"/>
            <w:r w:rsidRPr="004035BD">
              <w:rPr>
                <w:rFonts w:cs="Arial"/>
                <w:sz w:val="18"/>
                <w:szCs w:val="18"/>
              </w:rPr>
              <w:t>?</w:t>
            </w:r>
            <w:r w:rsidRPr="004035BD">
              <w:rPr>
                <w:rFonts w:cs="Arial"/>
                <w:sz w:val="18"/>
                <w:szCs w:val="18"/>
              </w:rPr>
              <w:br/>
              <w:t xml:space="preserve">Jeżeli jest to wymagane, proszę określić, do której kategorii lub których kategorii pracowników niepełnosprawnych lub </w:t>
            </w:r>
            <w:proofErr w:type="spellStart"/>
            <w:r w:rsidRPr="004035BD">
              <w:rPr>
                <w:rFonts w:cs="Arial"/>
                <w:sz w:val="18"/>
                <w:szCs w:val="18"/>
              </w:rPr>
              <w:t>defaworyzowanych</w:t>
            </w:r>
            <w:proofErr w:type="spellEnd"/>
            <w:r w:rsidRPr="004035BD">
              <w:rPr>
                <w:rFonts w:cs="Arial"/>
                <w:sz w:val="18"/>
                <w:szCs w:val="18"/>
              </w:rPr>
              <w:t xml:space="preserve">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w:t>
      </w:r>
      <w:proofErr w:type="spellStart"/>
      <w:r w:rsidRPr="004035BD">
        <w:rPr>
          <w:rFonts w:ascii="Verdana" w:hAnsi="Verdana" w:cs="Arial"/>
          <w:i/>
          <w:sz w:val="18"/>
          <w:szCs w:val="20"/>
        </w:rPr>
        <w:t>ych</w:t>
      </w:r>
      <w:proofErr w:type="spellEnd"/>
      <w:r w:rsidRPr="004035BD">
        <w:rPr>
          <w:rFonts w:ascii="Verdana" w:hAnsi="Verdana" w:cs="Arial"/>
          <w:i/>
          <w:sz w:val="18"/>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w:t>
            </w:r>
            <w:proofErr w:type="spellStart"/>
            <w:r w:rsidRPr="004035BD">
              <w:rPr>
                <w:rFonts w:ascii="Verdana" w:hAnsi="Verdana" w:cs="Arial"/>
                <w:sz w:val="18"/>
                <w:szCs w:val="20"/>
              </w:rPr>
              <w:t>ych</w:t>
            </w:r>
            <w:proofErr w:type="spellEnd"/>
            <w:r w:rsidRPr="004035BD">
              <w:rPr>
                <w:rFonts w:ascii="Verdana" w:hAnsi="Verdana" w:cs="Arial"/>
                <w:sz w:val="18"/>
                <w:szCs w:val="20"/>
              </w:rPr>
              <w:t>)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w:t>
            </w:r>
            <w:proofErr w:type="spellStart"/>
            <w:r w:rsidRPr="004035BD">
              <w:rPr>
                <w:rFonts w:ascii="Verdana" w:hAnsi="Verdana" w:cs="Arial"/>
                <w:sz w:val="18"/>
                <w:szCs w:val="20"/>
              </w:rPr>
              <w:t>ych</w:t>
            </w:r>
            <w:proofErr w:type="spellEnd"/>
            <w:r w:rsidRPr="004035BD">
              <w:rPr>
                <w:rFonts w:ascii="Verdana" w:hAnsi="Verdana" w:cs="Arial"/>
                <w:sz w:val="18"/>
                <w:szCs w:val="20"/>
              </w:rPr>
              <w:t>)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230BA" w14:textId="77777777" w:rsidR="005E36D0" w:rsidRDefault="005E36D0" w:rsidP="001868FA">
      <w:pPr>
        <w:spacing w:after="0" w:line="240" w:lineRule="auto"/>
      </w:pPr>
      <w:r>
        <w:separator/>
      </w:r>
    </w:p>
  </w:endnote>
  <w:endnote w:type="continuationSeparator" w:id="0">
    <w:p w14:paraId="7AE04ECF" w14:textId="77777777" w:rsidR="005E36D0" w:rsidRDefault="005E36D0" w:rsidP="001868FA">
      <w:pPr>
        <w:spacing w:after="0" w:line="240" w:lineRule="auto"/>
      </w:pPr>
      <w:r>
        <w:continuationSeparator/>
      </w:r>
    </w:p>
  </w:endnote>
  <w:endnote w:type="continuationNotice" w:id="1">
    <w:p w14:paraId="470FE13C" w14:textId="77777777" w:rsidR="005E36D0" w:rsidRDefault="005E36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72F66" w14:textId="77777777" w:rsidR="005E36D0" w:rsidRDefault="005E36D0" w:rsidP="001868FA">
      <w:pPr>
        <w:spacing w:after="0" w:line="240" w:lineRule="auto"/>
      </w:pPr>
      <w:r>
        <w:separator/>
      </w:r>
    </w:p>
  </w:footnote>
  <w:footnote w:type="continuationSeparator" w:id="0">
    <w:p w14:paraId="423A173F" w14:textId="77777777" w:rsidR="005E36D0" w:rsidRDefault="005E36D0" w:rsidP="001868FA">
      <w:pPr>
        <w:spacing w:after="0" w:line="240" w:lineRule="auto"/>
      </w:pPr>
      <w:r>
        <w:continuationSeparator/>
      </w:r>
    </w:p>
  </w:footnote>
  <w:footnote w:type="continuationNotice" w:id="1">
    <w:p w14:paraId="4C6A4707" w14:textId="77777777" w:rsidR="005E36D0" w:rsidRDefault="005E36D0">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w:t>
      </w:r>
      <w:proofErr w:type="spellStart"/>
      <w:r w:rsidRPr="00FE50BB">
        <w:rPr>
          <w:rFonts w:asciiTheme="minorHAnsi" w:hAnsiTheme="minorHAnsi" w:cs="Arial"/>
          <w:sz w:val="16"/>
          <w:szCs w:val="16"/>
        </w:rPr>
        <w:t>defaworyzowanych</w:t>
      </w:r>
      <w:proofErr w:type="spellEnd"/>
      <w:r w:rsidRPr="00FE50BB">
        <w:rPr>
          <w:rFonts w:asciiTheme="minorHAnsi" w:hAnsiTheme="minorHAnsi" w:cs="Arial"/>
          <w:sz w:val="16"/>
          <w:szCs w:val="16"/>
        </w:rPr>
        <w:t>.</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t>
      </w:r>
      <w:proofErr w:type="spellStart"/>
      <w:r w:rsidRPr="00FE50BB">
        <w:rPr>
          <w:rStyle w:val="DeltaViewInsertion"/>
          <w:rFonts w:asciiTheme="minorHAnsi" w:hAnsiTheme="minorHAnsi" w:cs="Arial"/>
          <w:color w:val="000000"/>
          <w:sz w:val="16"/>
          <w:szCs w:val="16"/>
        </w:rPr>
        <w:t>WSiSW</w:t>
      </w:r>
      <w:proofErr w:type="spellEnd"/>
      <w:r w:rsidRPr="00FE50BB">
        <w:rPr>
          <w:rStyle w:val="DeltaViewInsertion"/>
          <w:rFonts w:asciiTheme="minorHAnsi" w:hAnsiTheme="minorHAnsi" w:cs="Arial"/>
          <w:color w:val="000000"/>
          <w:sz w:val="16"/>
          <w:szCs w:val="16"/>
        </w:rPr>
        <w:t xml:space="preserve">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Pr="00573B4D" w:rsidRDefault="00596F56" w:rsidP="00503D54">
          <w:pPr>
            <w:suppressAutoHyphens/>
            <w:ind w:right="187"/>
            <w:rPr>
              <w:rFonts w:ascii="Trebuchet MS" w:eastAsia="Calibri" w:hAnsi="Trebuchet MS"/>
              <w:color w:val="000000" w:themeColor="text1"/>
              <w:sz w:val="12"/>
              <w:szCs w:val="12"/>
            </w:rPr>
          </w:pPr>
          <w:r w:rsidRPr="00573B4D">
            <w:rPr>
              <w:rFonts w:ascii="Trebuchet MS" w:eastAsia="Calibri" w:hAnsi="Trebuchet MS"/>
              <w:color w:val="000000" w:themeColor="text1"/>
              <w:sz w:val="12"/>
              <w:szCs w:val="12"/>
            </w:rPr>
            <w:t>Specyfikacja Warunków Zamówienia (SWZ)</w:t>
          </w:r>
        </w:p>
        <w:p w14:paraId="7E927B21" w14:textId="65B86226" w:rsidR="00573B4D" w:rsidRPr="00573B4D" w:rsidRDefault="00573B4D" w:rsidP="00573B4D">
          <w:pPr>
            <w:tabs>
              <w:tab w:val="left" w:pos="6946"/>
            </w:tabs>
            <w:rPr>
              <w:rFonts w:ascii="Trebuchet MS" w:eastAsia="Calibri" w:hAnsi="Trebuchet MS"/>
              <w:color w:val="000000" w:themeColor="text1"/>
              <w:sz w:val="12"/>
              <w:szCs w:val="12"/>
            </w:rPr>
          </w:pPr>
          <w:r w:rsidRPr="00573B4D">
            <w:rPr>
              <w:rFonts w:ascii="Trebuchet MS" w:eastAsia="Calibri" w:hAnsi="Trebuchet MS"/>
              <w:color w:val="000000" w:themeColor="text1"/>
              <w:sz w:val="12"/>
              <w:szCs w:val="12"/>
            </w:rPr>
            <w:t>Przegląd okresowy generatorów synchronicznych w latach 2027-2029 r. w PGE Energia Ciepła S.A. Oddział w Gorzowie Wielkopolskim</w:t>
          </w:r>
        </w:p>
        <w:p w14:paraId="56BF67E0" w14:textId="548AA3BD" w:rsidR="00596F56" w:rsidRPr="00E14220" w:rsidRDefault="00573B4D" w:rsidP="00573B4D">
          <w:pPr>
            <w:suppressAutoHyphens/>
            <w:ind w:right="187"/>
            <w:rPr>
              <w:rFonts w:asciiTheme="majorHAnsi" w:hAnsiTheme="majorHAnsi"/>
              <w:color w:val="000000" w:themeColor="text1"/>
              <w:sz w:val="14"/>
              <w:szCs w:val="18"/>
            </w:rPr>
          </w:pPr>
          <w:r w:rsidRPr="00573B4D">
            <w:rPr>
              <w:rFonts w:asciiTheme="majorHAnsi" w:hAnsiTheme="majorHAnsi"/>
              <w:color w:val="000000" w:themeColor="text1"/>
              <w:sz w:val="14"/>
              <w:szCs w:val="18"/>
            </w:rPr>
            <w:t>POST/PEC/PEC/UZR/00135/2026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38.2pt">
                <v:imagedata r:id="rId1" o:title=""/>
              </v:shape>
              <o:OLEObject Type="Embed" ProgID="PBrush" ShapeID="_x0000_i1025" DrawAspect="Content" ObjectID="_1834125901"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A72BD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22AEADB0" w14:textId="77777777" w:rsidR="00573B4D" w:rsidRDefault="00573B4D" w:rsidP="000F37AB">
          <w:pPr>
            <w:suppressAutoHyphens/>
            <w:ind w:right="187"/>
            <w:rPr>
              <w:rFonts w:asciiTheme="majorHAnsi" w:hAnsiTheme="majorHAnsi"/>
              <w:color w:val="000000" w:themeColor="text1"/>
              <w:sz w:val="14"/>
              <w:szCs w:val="18"/>
            </w:rPr>
          </w:pPr>
          <w:r w:rsidRPr="00573B4D">
            <w:rPr>
              <w:rFonts w:asciiTheme="majorHAnsi" w:hAnsiTheme="majorHAnsi"/>
              <w:color w:val="000000" w:themeColor="text1"/>
              <w:sz w:val="14"/>
              <w:szCs w:val="18"/>
            </w:rPr>
            <w:t>Przegląd okresowy generatorów synchronicznych w latach 2027-2029 r. w PGE Energia Ciepła S.A. Oddział w Gorzowie Wielkopolskim</w:t>
          </w:r>
        </w:p>
        <w:p w14:paraId="056F51A1" w14:textId="0ED87FE2" w:rsidR="00596F56" w:rsidRPr="00E14220" w:rsidRDefault="00F2386A" w:rsidP="000F37AB">
          <w:pPr>
            <w:suppressAutoHyphens/>
            <w:ind w:right="187"/>
            <w:rPr>
              <w:rFonts w:asciiTheme="majorHAnsi" w:hAnsiTheme="majorHAnsi"/>
              <w:color w:val="000000" w:themeColor="text1"/>
              <w:sz w:val="14"/>
              <w:szCs w:val="18"/>
            </w:rPr>
          </w:pPr>
          <w:r w:rsidRPr="00F2386A">
            <w:rPr>
              <w:rFonts w:asciiTheme="majorHAnsi" w:hAnsiTheme="majorHAnsi"/>
              <w:color w:val="000000" w:themeColor="text1"/>
              <w:sz w:val="14"/>
              <w:szCs w:val="18"/>
            </w:rPr>
            <w:t>POST/PEC/PEC/UZR/00</w:t>
          </w:r>
          <w:r w:rsidR="00573B4D">
            <w:rPr>
              <w:rFonts w:asciiTheme="majorHAnsi" w:hAnsiTheme="majorHAnsi"/>
              <w:color w:val="000000" w:themeColor="text1"/>
              <w:sz w:val="14"/>
              <w:szCs w:val="18"/>
            </w:rPr>
            <w:t>135</w:t>
          </w:r>
          <w:r w:rsidRPr="00F2386A">
            <w:rPr>
              <w:rFonts w:asciiTheme="majorHAnsi" w:hAnsiTheme="majorHAnsi"/>
              <w:color w:val="000000" w:themeColor="text1"/>
              <w:sz w:val="14"/>
              <w:szCs w:val="18"/>
            </w:rPr>
            <w:t>/202</w:t>
          </w:r>
          <w:r w:rsidR="00DC76F0">
            <w:rPr>
              <w:rFonts w:asciiTheme="majorHAnsi" w:hAnsiTheme="majorHAnsi"/>
              <w:color w:val="000000" w:themeColor="text1"/>
              <w:sz w:val="14"/>
              <w:szCs w:val="18"/>
            </w:rPr>
            <w:t>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9pt;height:38.2pt">
                <v:imagedata r:id="rId1" o:title=""/>
              </v:shape>
              <o:OLEObject Type="Embed" ProgID="PBrush" ShapeID="_x0000_i1026" DrawAspect="Content" ObjectID="_1834125902"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B37"/>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2E9A"/>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7D6"/>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84D"/>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742"/>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5ABC"/>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1B6"/>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A1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BE3"/>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B4D"/>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36D0"/>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05DD"/>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06E"/>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7D8"/>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0D9"/>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3979"/>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E0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6F0"/>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499"/>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386A"/>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5CEC"/>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SWZ_JEDZ_00135_2026.docx</dmsv2BaseFileName>
    <dmsv2BaseDisplayName xmlns="http://schemas.microsoft.com/sharepoint/v3">Zał. nr 3 do SWZ_JEDZ_00135_2026</dmsv2BaseDisplayName>
    <dmsv2SWPP2ObjectNumber xmlns="http://schemas.microsoft.com/sharepoint/v3">POST/PEC/PEC/UZR/00135/2026                       </dmsv2SWPP2ObjectNumber>
    <dmsv2SWPP2SumMD5 xmlns="http://schemas.microsoft.com/sharepoint/v3">82d7357e1d1395ea305ec0e316586c77</dmsv2SWPP2SumMD5>
    <dmsv2BaseMoved xmlns="http://schemas.microsoft.com/sharepoint/v3">false</dmsv2BaseMoved>
    <dmsv2BaseIsSensitive xmlns="http://schemas.microsoft.com/sharepoint/v3">true</dmsv2BaseIsSensitive>
    <dmsv2SWPP2IDSWPP2 xmlns="http://schemas.microsoft.com/sharepoint/v3">707813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24737067</dmsv2BaseClientSystemDocumentID>
    <dmsv2BaseModifiedByID xmlns="http://schemas.microsoft.com/sharepoint/v3">19100159</dmsv2BaseModifiedByID>
    <dmsv2BaseCreatedByID xmlns="http://schemas.microsoft.com/sharepoint/v3">19100159</dmsv2BaseCreatedByID>
    <dmsv2SWPP2ObjectDepartment xmlns="http://schemas.microsoft.com/sharepoint/v3">00000001000l00030006</dmsv2SWPP2ObjectDepartment>
    <dmsv2SWPP2ObjectName xmlns="http://schemas.microsoft.com/sharepoint/v3">Postępowanie</dmsv2SWPP2ObjectName>
    <_dlc_DocId xmlns="a19cb1c7-c5c7-46d4-85ae-d83685407bba">FJ3FSM7XJ42E-2144144896-10418</_dlc_DocId>
    <_dlc_DocIdUrl xmlns="a19cb1c7-c5c7-46d4-85ae-d83685407bba">
      <Url>https://swpp2.dms.gkpge.pl/sites/43/_layouts/15/DocIdRedir.aspx?ID=FJ3FSM7XJ42E-2144144896-10418</Url>
      <Description>FJ3FSM7XJ42E-2144144896-10418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C4E13E-152C-4834-9FE5-3847A170B835}"/>
</file>

<file path=customXml/itemProps2.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5.xml><?xml version="1.0" encoding="utf-8"?>
<ds:datastoreItem xmlns:ds="http://schemas.openxmlformats.org/officeDocument/2006/customXml" ds:itemID="{C76C0CF1-C5E3-49FA-84D0-93CA5D21EA49}"/>
</file>

<file path=docProps/app.xml><?xml version="1.0" encoding="utf-8"?>
<Properties xmlns="http://schemas.openxmlformats.org/officeDocument/2006/extended-properties" xmlns:vt="http://schemas.openxmlformats.org/officeDocument/2006/docPropsVTypes">
  <Template>Normal</Template>
  <TotalTime>12</TotalTime>
  <Pages>15</Pages>
  <Words>4324</Words>
  <Characters>25947</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Szmuc Paulina [PGE EC S.A.]</dc:creator>
  <cp:keywords/>
  <dc:description/>
  <cp:lastModifiedBy>Kołodziej Beata [PGE EC S.A.]</cp:lastModifiedBy>
  <cp:revision>7</cp:revision>
  <dcterms:created xsi:type="dcterms:W3CDTF">2025-10-02T11:04:00Z</dcterms:created>
  <dcterms:modified xsi:type="dcterms:W3CDTF">2026-03-04T09:39:00Z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ce3c1903-75d7-4ab2-9488-b5815eddc740</vt:lpwstr>
  </property>
</Properties>
</file>